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221F17">
      <w:pPr>
        <w:spacing w:after="0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ПОГОДЖЕНО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засіданні педагогічної ради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(протокол №1  від  </w:t>
      </w:r>
      <w:r w:rsidR="00221F17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 серпня  2021</w:t>
      </w: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р.)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Голова педагогічної ради 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Директор ліцею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 В. Семчук</w:t>
      </w:r>
    </w:p>
    <w:p w:rsidR="001E101C" w:rsidRPr="001E101C" w:rsidRDefault="00221F17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«____» ___________ 2021</w:t>
      </w:r>
      <w:r w:rsidR="001E101C"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р.</w:t>
      </w:r>
    </w:p>
    <w:p w:rsidR="001E101C" w:rsidRDefault="001E101C" w:rsidP="001E101C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Pr="001E101C" w:rsidRDefault="001E101C" w:rsidP="001E101C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</w:t>
      </w:r>
      <w:r w:rsidRPr="001E101C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ЗАТВЕРДЖУЮ</w:t>
      </w:r>
    </w:p>
    <w:p w:rsidR="001E101C" w:rsidRPr="001E101C" w:rsidRDefault="001E101C" w:rsidP="001E101C">
      <w:pPr>
        <w:spacing w:after="0"/>
        <w:ind w:left="2127"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Директор Коломийського ліцею № 2</w:t>
      </w: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1E101C" w:rsidRPr="001E101C" w:rsidRDefault="001E101C" w:rsidP="001E101C">
      <w:pPr>
        <w:spacing w:after="0"/>
        <w:ind w:left="2127"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 В.Семчук</w:t>
      </w:r>
    </w:p>
    <w:p w:rsidR="001E101C" w:rsidRPr="001E101C" w:rsidRDefault="00221F17" w:rsidP="001E101C">
      <w:pPr>
        <w:spacing w:after="0"/>
        <w:ind w:left="2127"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«____» __________ 2021</w:t>
      </w:r>
      <w:r w:rsidR="001E101C" w:rsidRPr="001E101C"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р.</w:t>
      </w: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1E101C" w:rsidRPr="001E101C" w:rsidSect="009D77CA">
          <w:footerReference w:type="default" r:id="rId9"/>
          <w:pgSz w:w="16820" w:h="11900" w:orient="landscape"/>
          <w:pgMar w:top="284" w:right="851" w:bottom="0" w:left="851" w:header="720" w:footer="720" w:gutter="0"/>
          <w:pgNumType w:start="1"/>
          <w:cols w:num="2" w:space="720"/>
        </w:sectPr>
      </w:pPr>
    </w:p>
    <w:p w:rsidR="001E101C" w:rsidRPr="001E101C" w:rsidRDefault="001E101C" w:rsidP="001E101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Pr="001E101C" w:rsidRDefault="001E101C" w:rsidP="001E101C">
      <w:pPr>
        <w:spacing w:after="0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Pr="001E101C" w:rsidRDefault="001E101C" w:rsidP="001E101C">
      <w:pPr>
        <w:spacing w:after="0"/>
        <w:ind w:firstLine="212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E101C" w:rsidRPr="001E101C" w:rsidRDefault="001E101C" w:rsidP="001E10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</w:pPr>
    </w:p>
    <w:p w:rsidR="001E101C" w:rsidRDefault="001E101C" w:rsidP="001E10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48"/>
          <w:szCs w:val="4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1E101C" w:rsidSect="009D77CA">
          <w:type w:val="continuous"/>
          <w:pgSz w:w="16820" w:h="11900" w:orient="landscape"/>
          <w:pgMar w:top="284" w:right="851" w:bottom="0" w:left="851" w:header="720" w:footer="720" w:gutter="0"/>
          <w:pgNumType w:start="1"/>
          <w:cols w:space="720"/>
        </w:sectPr>
      </w:pPr>
    </w:p>
    <w:p w:rsidR="001E101C" w:rsidRPr="001E101C" w:rsidRDefault="001E101C" w:rsidP="001E10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48"/>
          <w:szCs w:val="4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eastAsia="Times New Roman" w:hAnsi="Times New Roman" w:cs="Times New Roman"/>
          <w:b/>
          <w:bCs/>
          <w:color w:val="006600"/>
          <w:sz w:val="48"/>
          <w:szCs w:val="4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Положення про внутрішню систему забезпечення якості освіти</w:t>
      </w:r>
    </w:p>
    <w:p w:rsidR="001E101C" w:rsidRPr="001E101C" w:rsidRDefault="001E101C" w:rsidP="001E101C">
      <w:pPr>
        <w:spacing w:after="0"/>
        <w:ind w:firstLine="2127"/>
        <w:rPr>
          <w:rFonts w:ascii="Times New Roman" w:eastAsia="Times New Roman" w:hAnsi="Times New Roman" w:cs="Times New Roman"/>
          <w:color w:val="006600"/>
          <w:sz w:val="28"/>
          <w:szCs w:val="2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1E101C" w:rsidRPr="001E101C" w:rsidSect="001E101C">
          <w:type w:val="continuous"/>
          <w:pgSz w:w="16820" w:h="11900" w:orient="landscape"/>
          <w:pgMar w:top="284" w:right="851" w:bottom="0" w:left="851" w:header="720" w:footer="720" w:gutter="0"/>
          <w:pgNumType w:start="1"/>
          <w:cols w:space="720"/>
        </w:sectPr>
      </w:pPr>
    </w:p>
    <w:p w:rsidR="001E101C" w:rsidRDefault="001E101C" w:rsidP="001E101C">
      <w:pPr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E101C"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Коломийського ліцею №2</w:t>
      </w:r>
    </w:p>
    <w:p w:rsidR="001E101C" w:rsidRPr="001E101C" w:rsidRDefault="001E101C" w:rsidP="001E101C">
      <w:pPr>
        <w:jc w:val="center"/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Коломийської міської ради </w:t>
      </w:r>
      <w:r w:rsidRPr="001E101C"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Івано-Франківської області</w:t>
      </w:r>
    </w:p>
    <w:p w:rsidR="001E101C" w:rsidRPr="001E101C" w:rsidRDefault="00221F17" w:rsidP="001E10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1E101C" w:rsidRPr="001E101C" w:rsidSect="001E101C">
          <w:type w:val="continuous"/>
          <w:pgSz w:w="16820" w:h="11900" w:orient="landscape"/>
          <w:pgMar w:top="284" w:right="851" w:bottom="0" w:left="85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 2021-2022</w:t>
      </w:r>
      <w:r w:rsidR="001E101C" w:rsidRPr="001E101C"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навчальний рік</w:t>
      </w:r>
    </w:p>
    <w:p w:rsidR="001E101C" w:rsidRDefault="001E101C" w:rsidP="001E101C">
      <w:pPr>
        <w:rPr>
          <w:rFonts w:ascii="Times New Roman" w:hAnsi="Times New Roman" w:cs="Times New Roman"/>
          <w:b/>
          <w:color w:val="006600"/>
          <w:sz w:val="48"/>
          <w:szCs w:val="48"/>
          <w:lang w:val="uk-UA"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1E101C" w:rsidSect="0026456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101C" w:rsidRDefault="001E101C" w:rsidP="006A3B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6A3B50" w:rsidRPr="00221F17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положення про внутрішню систему забезпечення якості освітньої діяльності та яко</w:t>
      </w:r>
      <w:r w:rsidR="001E101C" w:rsidRPr="001E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освіти в </w:t>
      </w:r>
      <w:r w:rsidR="001E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Коломийському ліцеї № 2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ВСЗЯО) розроблено відповідно до Законів України «Про освіту»; «Про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освіту»; розпорядження Кабінету Міністрів України від 14 грудня 2016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ДСТУ 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ISO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9001:2015 Системи управління якістю. 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Вимоги; ДСТУ 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ISO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9000:2015 Системи управління якістю. Основні положення та словник термінів; наказу Міністерства освіти і науки України від 09.01.2019 №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«Про затвердження Порядку проведення інституційного аудиту закладів загальної середньої освіти» та затвердж</w:t>
      </w:r>
      <w:r w:rsidR="001E101C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r w:rsidR="001E1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101C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педагогічною радою </w:t>
      </w:r>
      <w:r w:rsidR="001E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="001E101C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(протокол №</w:t>
      </w:r>
      <w:r w:rsidR="00086E69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086E69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8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86E69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221F17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р)</w:t>
      </w:r>
    </w:p>
    <w:p w:rsidR="006A3B50" w:rsidRPr="00221F17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розроблення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ВСЗЯО враховувалися «Рекомендації до побудови внутрішньої системи забезпечення якості освіти у закладі загальної середньої освіти» (Бобровський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В., Горбачов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І., Заплотинська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О.).</w:t>
      </w:r>
    </w:p>
    <w:p w:rsidR="006A3B50" w:rsidRPr="00221F17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Внутрішня система заб</w:t>
      </w:r>
      <w:r w:rsidR="00221F17"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езпечення якості освіти у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Коломийському </w:t>
      </w:r>
      <w:r w:rsid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 w:rsidR="004E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розбудовується на виконання статті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 Закону України «Про освіту» для спрямування та контролю діяльності закладу щодо забезпечення якості освіти.</w:t>
      </w: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створення та реалізації внутрішньої системи забезпечення якості освіти базується на таких принципах: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автономія закладу освіти;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академічна доброчесність;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академічна свобода;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 і адаптивність системи освітньої діяльності;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якості освіти та якості освітньої діяльності;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забезпечення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 доступу до освіти без дискримінації за будь-якими ознаками, у тому числі за ознакою інвалідності;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державно-громадське управління;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доступність для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всіх форм і типів освітніх послуг, що надаються державою;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людиноцентризм, дитиноцентризм;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 вдосконалення освітньої діяльності;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у виборі виді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темпу здобуття освіти, освітньої програми, закладу освіти, інших суб’єктів освітньої діяльності;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 впливу зовнішніх чинників;</w:t>
      </w:r>
    </w:p>
    <w:p w:rsidR="006A3B50" w:rsidRPr="006A3B50" w:rsidRDefault="006A3B50" w:rsidP="00F854C9">
      <w:pPr>
        <w:numPr>
          <w:ilvl w:val="0"/>
          <w:numId w:val="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 системи управління якістю освіти.</w:t>
      </w: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розбудови та функціонування внутрішньої системи забез</w:t>
      </w:r>
      <w:r w:rsidR="004E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печення якості освіти в </w:t>
      </w:r>
      <w:r w:rsidR="004E2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6A3B50" w:rsidRPr="006A3B50" w:rsidRDefault="006A3B50" w:rsidP="00F854C9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 якості освіти;</w:t>
      </w:r>
    </w:p>
    <w:p w:rsidR="006A3B50" w:rsidRPr="006A3B50" w:rsidRDefault="006A3B50" w:rsidP="00F854C9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довіри громади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освіти;</w:t>
      </w:r>
    </w:p>
    <w:p w:rsidR="006A3B50" w:rsidRPr="006A3B50" w:rsidRDefault="006A3B50" w:rsidP="00F854C9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постійне та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ідовне підвищення якості освіти.</w:t>
      </w: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</w:t>
      </w:r>
      <w:r w:rsidR="002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ьність за впровадження ВСЗЯО в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Коломийському </w:t>
      </w:r>
      <w:r w:rsidR="00264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кладається на директора </w:t>
      </w:r>
      <w:r w:rsidR="00264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 Структура внутрішньої системи забезпечення якості освіти</w:t>
      </w:r>
    </w:p>
    <w:p w:rsidR="006A3B50" w:rsidRPr="006A3B50" w:rsidRDefault="006A3B50" w:rsidP="00F854C9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 системи забез</w:t>
      </w:r>
      <w:r w:rsidR="0008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печення якості освіти в </w:t>
      </w:r>
      <w:r w:rsidR="0008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 та процедури внутрішньої системи забезпечення якості освіти;</w:t>
      </w:r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та механізми забезпечення академічної доброчесності в закладі освіти;</w:t>
      </w:r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критерії, правила і процедури оцінювання здобувачів освіти;</w:t>
      </w:r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критерії, правила і процедури оцінювання управлінської діяльності керівних працівникі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освіти;</w:t>
      </w:r>
    </w:p>
    <w:p w:rsidR="006A3B50" w:rsidRPr="006A3B50" w:rsidRDefault="006A3B50" w:rsidP="00F854C9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 реалізації внутрішньої системи забезпечення якості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ІІІ. Політика та процедури забезпечення внутрішньої системи забезпечення якості освіти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Політика внутрішньої системи забезпечення якості освіти спрямована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створення системи та механізмів забезпечення академічної доброчесності;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забезпечення наявності інформаційних систем для ефективного управління закладом освіти;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забезпечення наявності в закладі освіти необхідних ресурсів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освітнього процесу;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створення в закладі освіти інклюзивного освітнього середовища;</w:t>
      </w:r>
    </w:p>
    <w:p w:rsidR="006A3B50" w:rsidRPr="006A3B50" w:rsidRDefault="006A3B50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запобігання та протидію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(цькуванню);</w:t>
      </w:r>
      <w:bookmarkStart w:id="0" w:name="_GoBack"/>
      <w:bookmarkEnd w:id="0"/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застосування системи внутрішнього моніторингу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відстеження та коригування результатів освітньої діяльності.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Створення системи та механізмів забезпечення академічної доброчесності (див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озділ ІV);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Забезпечення наявності інформаційних систем для ефективного управління закладом освіти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ефективного управління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бути забезпечен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компонентами інформаційних систем, як: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 мережа Інтернет;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іцензовані програмні продукти, електронні освітні ресурси;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 інформаційний прості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(можливість спільного використання суб’єктами освіти наявних у системі електронних ресурсів);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до наявних освітніх веб-ресурсів (веб-сайти, блоги педагогів, сайт закладу освіти, платформа для дистанційної освіти);</w:t>
      </w:r>
    </w:p>
    <w:p w:rsidR="006A3B50" w:rsidRPr="006A3B50" w:rsidRDefault="006A3B50" w:rsidP="004E240F">
      <w:pPr>
        <w:numPr>
          <w:ilvl w:val="0"/>
          <w:numId w:val="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 ресурси навчального призначення (бібліотека, бази даних, інформаційні системи, програмне забезпечення, засоби зв’язку, комп’ютерні та телекомунікаційні мережі, раді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телеканали тощо).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 Забезпечення наявності необхідних ресурсів 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організації освітнього процесу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</w:t>
      </w:r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ації освітнього процесу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бути забезпечена такими ресурсами, як: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Державний стандарт загальної середньої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типові освітні програми;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 закладу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стратегія розвитку закладу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 план роботи закладу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 закладу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штатний розпис закладу освіти;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календарно-тематичне планування;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та технології організації освітнього процесу;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роботи з дітьми з особливими освітніми потребами;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та морального заохочення;</w:t>
      </w:r>
    </w:p>
    <w:p w:rsidR="006A3B50" w:rsidRPr="006A3B50" w:rsidRDefault="006A3B50" w:rsidP="004E240F">
      <w:pPr>
        <w:numPr>
          <w:ilvl w:val="0"/>
          <w:numId w:val="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 педагогічних працівників.</w:t>
      </w:r>
    </w:p>
    <w:p w:rsidR="006A3B50" w:rsidRPr="006A3B50" w:rsidRDefault="00086E69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 Створення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іцеї</w:t>
      </w:r>
      <w:r w:rsidR="006A3B50"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інклюзивного освітнього середовища</w:t>
      </w:r>
    </w:p>
    <w:p w:rsidR="006A3B50" w:rsidRPr="006A3B50" w:rsidRDefault="00086E69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="006A3B50"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інклюзивного освітнього середовища передбача</w:t>
      </w:r>
      <w:proofErr w:type="gramStart"/>
      <w:r w:rsidR="006A3B50"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організацію безбар’єрного простору (фізичну можливість та зручність потрапляння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освіти, фізичну безпеку при пересуванні в ньому; можливість вільного отримання інформації про заклад освіти і освітні послуги, що надаються);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 ресурсної кімнати (організація зони навчання та побутово-практичної зони);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медіатеки мультимедійними засобами для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наближення дітей до необхідних джерел інформації;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допоміжних технологій (пристрої для прослуховування, розширеної та альтернативної комунікації, принтери і дисплеї системи Брайля, інтерактивне обладнання);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комплексної системи заходів із супроводу учня з особливими освітніми потребами (корекційно-розвивальні заняття з практичним психологом, вчителем-логопедом, вчителем-дефектологом, вчителем-реабілітологом);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адаптацію та модифікацію типової освітньої програми або її компонентів (гнучкість програми,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навчальні методики і проведення відповідного оцінювання, розробка індивідуальної програми розвитку);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 взаємодії, неупередженості та недопущення дискримінації;</w:t>
      </w:r>
    </w:p>
    <w:p w:rsidR="006A3B50" w:rsidRPr="006A3B50" w:rsidRDefault="006A3B50" w:rsidP="004E240F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 Запобігання та протидія 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 (цькуванню)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протиді</w:t>
      </w:r>
      <w:r w:rsidR="0008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086E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08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 (цькуванню) в </w:t>
      </w:r>
      <w:r w:rsidR="0008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передбачає:</w:t>
      </w:r>
    </w:p>
    <w:p w:rsidR="006A3B50" w:rsidRPr="006A3B50" w:rsidRDefault="006A3B50" w:rsidP="004E240F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та оприлюднення правил поведінки здобувача освіти в закладі освіти;</w:t>
      </w:r>
    </w:p>
    <w:p w:rsidR="006A3B50" w:rsidRPr="006A3B50" w:rsidRDefault="006A3B50" w:rsidP="004E240F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та оприлюднення плану заходів, спрямованих на запобігання та протидію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(цькуванню) в закладі освіти;</w:t>
      </w:r>
    </w:p>
    <w:p w:rsidR="006A3B50" w:rsidRPr="006A3B50" w:rsidRDefault="006A3B50" w:rsidP="004E240F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та оприлюднення порядку подання та розгляду (з дотриманням конфіденційності) заяв про випадки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(цькування) в закладі освіти;</w:t>
      </w:r>
    </w:p>
    <w:p w:rsidR="006A3B50" w:rsidRPr="006A3B50" w:rsidRDefault="006A3B50" w:rsidP="004E240F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та оприлюднення порядку реагування на доведені випадк</w:t>
      </w:r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F2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 (цькування) в </w:t>
      </w:r>
      <w:r w:rsidR="00F27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іцеї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відповідальності осіб, причетних до булінгу (цькування) тощо.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3.6. Застосування системи внутрішнього моніторингу 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відстеження та коригування результатів освітньої діяльності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системи внутрішнього моніторингу належать:</w:t>
      </w:r>
    </w:p>
    <w:p w:rsidR="006A3B50" w:rsidRPr="006A3B50" w:rsidRDefault="006A3B50" w:rsidP="004E240F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внутрішнього моніторингу якості освітньої діяльності та якості освіти;</w:t>
      </w:r>
    </w:p>
    <w:p w:rsidR="006A3B50" w:rsidRPr="006A3B50" w:rsidRDefault="006A3B50" w:rsidP="004E240F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самооцінювання якості педагогічної та управлінської діяльності;</w:t>
      </w:r>
    </w:p>
    <w:p w:rsidR="006A3B50" w:rsidRPr="006A3B50" w:rsidRDefault="006A3B50" w:rsidP="004E240F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оцінювання навчальних досягнень учні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 збору інформації:</w:t>
      </w:r>
    </w:p>
    <w:p w:rsidR="006A3B50" w:rsidRPr="006A3B50" w:rsidRDefault="006A3B50" w:rsidP="004E240F">
      <w:pPr>
        <w:numPr>
          <w:ilvl w:val="0"/>
          <w:numId w:val="9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Аналіз документів (плани роботи, звіти, протоколи засідань педагогічної ради, класні журнали тощо).</w:t>
      </w:r>
    </w:p>
    <w:p w:rsidR="006A3B50" w:rsidRPr="006A3B50" w:rsidRDefault="006A3B50" w:rsidP="004E240F">
      <w:pPr>
        <w:numPr>
          <w:ilvl w:val="0"/>
          <w:numId w:val="9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анкетування учасників освітнього процесу (педагогів, учнів, батьків);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інтерв’ю (з педагогічними працівниками, представниками учнівського самоврядування);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фокус-групи (з батьками, учнями, представниками учнівського самоврядування, педагогами).</w:t>
      </w:r>
    </w:p>
    <w:p w:rsidR="006A3B50" w:rsidRPr="006A3B50" w:rsidRDefault="006A3B50" w:rsidP="004E240F">
      <w:pPr>
        <w:numPr>
          <w:ilvl w:val="0"/>
          <w:numId w:val="10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навчальних досягнень здобувачів освіти;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педагогічної діяльності (спостереження за проведенням навчальних занять, позакласною роботою тощо);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спостереження за освітнім середовищем (сані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Інструментарій методів збору інформації:</w:t>
      </w:r>
    </w:p>
    <w:p w:rsidR="006A3B50" w:rsidRPr="006A3B50" w:rsidRDefault="006A3B50" w:rsidP="004E240F">
      <w:pPr>
        <w:numPr>
          <w:ilvl w:val="0"/>
          <w:numId w:val="1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аналізу документів (щодо системи оцінювання навчальних досягнень учнів; фінансування закладу освіти; кількісно-якісного складу педагогічних працівників тощо);</w:t>
      </w:r>
    </w:p>
    <w:p w:rsidR="006A3B50" w:rsidRPr="006A3B50" w:rsidRDefault="006A3B50" w:rsidP="004E240F">
      <w:pPr>
        <w:numPr>
          <w:ilvl w:val="0"/>
          <w:numId w:val="1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 (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педагогів, учнів, батьків);</w:t>
      </w:r>
    </w:p>
    <w:p w:rsidR="006A3B50" w:rsidRPr="006A3B50" w:rsidRDefault="006A3B50" w:rsidP="004E240F">
      <w:pPr>
        <w:numPr>
          <w:ilvl w:val="0"/>
          <w:numId w:val="1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спостереження (за проведенням навчальних занять, позакласною роботою тощо).</w:t>
      </w:r>
    </w:p>
    <w:p w:rsidR="006A3B50" w:rsidRPr="006A3B50" w:rsidRDefault="006A3B50" w:rsidP="004E240F">
      <w:pPr>
        <w:numPr>
          <w:ilvl w:val="0"/>
          <w:numId w:val="1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та механізми забезпечення академічної доброчесності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Дотримання академічної доброчесності педагогічними працівниками передбача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6A3B50" w:rsidRPr="006A3B50" w:rsidRDefault="006A3B50" w:rsidP="004E240F">
      <w:pPr>
        <w:numPr>
          <w:ilvl w:val="0"/>
          <w:numId w:val="1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посилання на джерела інформації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6A3B50" w:rsidRPr="006A3B50" w:rsidRDefault="006A3B50" w:rsidP="004E240F">
      <w:pPr>
        <w:numPr>
          <w:ilvl w:val="0"/>
          <w:numId w:val="1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норм законодавства про авторське право і суміжні права;</w:t>
      </w:r>
    </w:p>
    <w:p w:rsidR="006A3B50" w:rsidRPr="006A3B50" w:rsidRDefault="006A3B50" w:rsidP="004E240F">
      <w:pPr>
        <w:numPr>
          <w:ilvl w:val="0"/>
          <w:numId w:val="1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надання достовірної інформації про методики і результати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джерела використаної інформації та власну педагогічну діяльність;</w:t>
      </w:r>
    </w:p>
    <w:p w:rsidR="006A3B50" w:rsidRPr="006A3B50" w:rsidRDefault="006A3B50" w:rsidP="004E240F">
      <w:pPr>
        <w:numPr>
          <w:ilvl w:val="0"/>
          <w:numId w:val="1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дотриманням академічної доброчесності здобувачами освіти;</w:t>
      </w:r>
    </w:p>
    <w:p w:rsidR="006A3B50" w:rsidRPr="006A3B50" w:rsidRDefault="006A3B50" w:rsidP="004E240F">
      <w:pPr>
        <w:numPr>
          <w:ilvl w:val="0"/>
          <w:numId w:val="13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 оцінювання результатів навчання.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Дотримання академічної доброчесності здобувачами освіти передбача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  <w:proofErr w:type="gramEnd"/>
    </w:p>
    <w:p w:rsidR="006A3B50" w:rsidRPr="006A3B50" w:rsidRDefault="006A3B50" w:rsidP="004E240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самостійне виконання навчальних завдань, завдань поточного та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6A3B50" w:rsidRPr="006A3B50" w:rsidRDefault="006A3B50" w:rsidP="004E240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посилання на джерела інформації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використання ідей, розробок, тверджень, відомостей;</w:t>
      </w:r>
    </w:p>
    <w:p w:rsidR="006A3B50" w:rsidRPr="006A3B50" w:rsidRDefault="006A3B50" w:rsidP="004E240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норм законодавства про авторське право і суміжні права;</w:t>
      </w:r>
    </w:p>
    <w:p w:rsidR="006A3B50" w:rsidRPr="006A3B50" w:rsidRDefault="006A3B50" w:rsidP="004E240F">
      <w:pPr>
        <w:numPr>
          <w:ilvl w:val="0"/>
          <w:numId w:val="14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достовірної інформації про результати власної навчальної діяльності і джерела інформації.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За порушення академічної доброчесності педагогічні працівники гімназії можуть бути притягнені до такої академічної відповідальності:</w:t>
      </w:r>
    </w:p>
    <w:p w:rsidR="006A3B50" w:rsidRPr="006A3B50" w:rsidRDefault="006A3B50" w:rsidP="004E240F">
      <w:pPr>
        <w:numPr>
          <w:ilvl w:val="0"/>
          <w:numId w:val="1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 в присвоєнні кваліфікаційної категорії;</w:t>
      </w:r>
    </w:p>
    <w:p w:rsidR="006A3B50" w:rsidRPr="006A3B50" w:rsidRDefault="006A3B50" w:rsidP="004E240F">
      <w:pPr>
        <w:numPr>
          <w:ilvl w:val="0"/>
          <w:numId w:val="1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позбавлення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єної кваліфікаційної категорії;</w:t>
      </w:r>
    </w:p>
    <w:p w:rsidR="006A3B50" w:rsidRPr="006A3B50" w:rsidRDefault="006A3B50" w:rsidP="004E240F">
      <w:pPr>
        <w:numPr>
          <w:ilvl w:val="0"/>
          <w:numId w:val="1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 в присвоєнні педагогічного звання;</w:t>
      </w:r>
    </w:p>
    <w:p w:rsidR="006A3B50" w:rsidRPr="006A3B50" w:rsidRDefault="006A3B50" w:rsidP="004E240F">
      <w:pPr>
        <w:numPr>
          <w:ilvl w:val="0"/>
          <w:numId w:val="1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 присвоєного педагогічного звання;</w:t>
      </w:r>
    </w:p>
    <w:p w:rsidR="006A3B50" w:rsidRPr="006A3B50" w:rsidRDefault="006A3B50" w:rsidP="004E240F">
      <w:pPr>
        <w:numPr>
          <w:ilvl w:val="0"/>
          <w:numId w:val="15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позбавлення права брати участь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визначених законом органів чи займати визначені законом посади.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За порушення академічної доброчесності здобувачі освіти можуть бути притягнені до такої академічної відповідальності:</w:t>
      </w:r>
    </w:p>
    <w:p w:rsidR="006A3B50" w:rsidRPr="006A3B50" w:rsidRDefault="006A3B50" w:rsidP="004E240F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проходження оцінювання (контрольна, практична, лабораторна роботи, тест, залік тощо);</w:t>
      </w:r>
    </w:p>
    <w:p w:rsidR="006A3B50" w:rsidRPr="006A3B50" w:rsidRDefault="006A3B50" w:rsidP="004E240F">
      <w:pPr>
        <w:numPr>
          <w:ilvl w:val="0"/>
          <w:numId w:val="16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проходження відповідного освітнього компонента освітньої програми.</w:t>
      </w:r>
    </w:p>
    <w:p w:rsidR="006A3B50" w:rsidRPr="00812E61" w:rsidRDefault="006A3B50" w:rsidP="004E240F">
      <w:pPr>
        <w:numPr>
          <w:ilvl w:val="0"/>
          <w:numId w:val="17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Критерії, правила і процедури оцінювання здобувачів освіти</w:t>
      </w:r>
    </w:p>
    <w:p w:rsidR="00812E61" w:rsidRDefault="00812E6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Критерії, правила і процедури оцінювання учнів у </w:t>
      </w:r>
      <w:r w:rsidRPr="0081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8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визначаються на основі положень відповідних наказів МОН України щодо оцінювання навчальних досягнень учні</w:t>
      </w:r>
      <w:proofErr w:type="gramStart"/>
      <w:r w:rsidRPr="00812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системі загальної середньої освіти</w:t>
      </w:r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>Загальні критерії оцінювання</w:t>
      </w: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 навчальних досягнень учні</w:t>
      </w:r>
      <w:proofErr w:type="gramStart"/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в</w:t>
      </w:r>
      <w:proofErr w:type="gramEnd"/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 xml:space="preserve"> у системі загальної середньої освіти </w:t>
      </w:r>
      <w:hyperlink r:id="rId10" w:history="1">
        <w:r w:rsidRPr="00812E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тут </w:t>
        </w:r>
      </w:hyperlink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Орієнтовні </w:t>
      </w:r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 xml:space="preserve">вимоги </w:t>
      </w:r>
      <w:proofErr w:type="gramStart"/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>до</w:t>
      </w:r>
      <w:proofErr w:type="gramEnd"/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 xml:space="preserve"> контролю та оцінювання навчальних  досягнень учнів початкової школи</w:t>
      </w: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 </w:t>
      </w:r>
      <w:hyperlink r:id="rId11" w:history="1">
        <w:r w:rsidRPr="00812E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(Додаток до наказу МОН України від 19.08.2016   №1009)</w:t>
        </w:r>
      </w:hyperlink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Про затвердження орієнтовних</w:t>
      </w:r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> вимог оцінювання навчальних досягнень учнів із базових дисциплін</w:t>
      </w: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 у системі загальної середньої освіти </w:t>
      </w:r>
      <w:hyperlink r:id="rId12" w:history="1">
        <w:r w:rsidRPr="00812E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тут</w:t>
        </w:r>
      </w:hyperlink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7"/>
          <w:szCs w:val="27"/>
          <w:lang w:eastAsia="ru-RU"/>
        </w:rPr>
        <w:t>{Із змінами, внесеними згідно з Наказом Міністерства освіти і науки № 1009 від 19.08.2016}</w:t>
      </w:r>
    </w:p>
    <w:p w:rsidR="000A7EF1" w:rsidRPr="00812E61" w:rsidRDefault="000A7EF1" w:rsidP="004E240F">
      <w:pPr>
        <w:spacing w:after="15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  <w:t> </w:t>
      </w:r>
      <w:r w:rsidRPr="00812E61">
        <w:rPr>
          <w:rFonts w:ascii="Times New Roman" w:eastAsia="Times New Roman" w:hAnsi="Times New Roman" w:cs="Times New Roman"/>
          <w:b/>
          <w:bCs/>
          <w:color w:val="332100"/>
          <w:sz w:val="27"/>
          <w:szCs w:val="27"/>
          <w:lang w:eastAsia="ru-RU"/>
        </w:rPr>
        <w:t>І. Критерії, правила і  процедури оцінювання здобувачів освіти закладу</w:t>
      </w:r>
    </w:p>
    <w:p w:rsidR="000A7EF1" w:rsidRPr="00812E61" w:rsidRDefault="000A7EF1" w:rsidP="004E240F">
      <w:pPr>
        <w:spacing w:after="15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  <w:t> </w:t>
      </w:r>
    </w:p>
    <w:p w:rsidR="000A7EF1" w:rsidRPr="00812E61" w:rsidRDefault="000A7EF1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КРИТЕРІЇ ОЦІНЮВАННЯ НАВЧАЛЬНИХ ДОСЯГНЕНЬ УЧНІВ (ВИХОВАНЦІВ) У СИСТЕМІ ЗАГАЛЬНОЇ СЕРЕДНЬОЇ ОСВІТИ (</w:t>
      </w:r>
      <w:hyperlink r:id="rId13" w:tgtFrame="_blank" w:history="1">
        <w:r w:rsidRPr="00812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наказ МОНМС від 13.04.2011 р. № 329</w:t>
        </w:r>
      </w:hyperlink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)</w:t>
      </w:r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ОЦІНЮВАННЯ УЧНІВ 1 КЛАСУ </w:t>
      </w:r>
      <w:hyperlink r:id="rId14" w:history="1">
        <w:r w:rsidRPr="00812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(листи МОНУ від 18.05.2018 р. №2.2-1250 та від 21.05.2018 р. №2.2-1255)</w:t>
        </w:r>
      </w:hyperlink>
    </w:p>
    <w:p w:rsidR="000A7EF1" w:rsidRPr="00812E61" w:rsidRDefault="000A7EF1" w:rsidP="004E240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 xml:space="preserve">ВИДИ ОЦІНЮВАННЯ НАВЧАЛЬНИХ ДОСЯГНЕНЬ УЧНІВ: ПОТОЧНЕ, ТЕМАТИЧНЕ, СЕМЕСТРОВЕ, </w:t>
      </w:r>
      <w:proofErr w:type="gramStart"/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Р</w:t>
      </w:r>
      <w:proofErr w:type="gramEnd"/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ІЧНЕ ОЦІНЮВАННЯ ТА ДПА (</w:t>
      </w:r>
      <w:hyperlink r:id="rId15" w:tgtFrame="_blank" w:history="1">
        <w:r w:rsidRPr="00812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наказ МОН №371 від 05.05.2008 р.</w:t>
        </w:r>
      </w:hyperlink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)</w:t>
      </w:r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1"/>
          <w:szCs w:val="21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4"/>
          <w:szCs w:val="24"/>
          <w:lang w:eastAsia="ru-RU"/>
        </w:rPr>
        <w:t>ключові та предметні компетентності;</w:t>
      </w:r>
    </w:p>
    <w:p w:rsidR="000A7EF1" w:rsidRPr="00812E61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8"/>
          <w:szCs w:val="28"/>
          <w:lang w:eastAsia="ru-RU"/>
        </w:rPr>
        <w:t>наскрізні вміння;</w:t>
      </w:r>
    </w:p>
    <w:p w:rsidR="000A7EF1" w:rsidRPr="006A3B50" w:rsidRDefault="000A7EF1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2100"/>
          <w:sz w:val="28"/>
          <w:szCs w:val="28"/>
          <w:lang w:val="uk-UA" w:eastAsia="ru-RU"/>
        </w:rPr>
      </w:pPr>
      <w:r w:rsidRPr="00812E61">
        <w:rPr>
          <w:rFonts w:ascii="Times New Roman" w:eastAsia="Times New Roman" w:hAnsi="Times New Roman" w:cs="Times New Roman"/>
          <w:color w:val="332100"/>
          <w:sz w:val="28"/>
          <w:szCs w:val="28"/>
          <w:lang w:eastAsia="ru-RU"/>
        </w:rPr>
        <w:t>ціннісні ставлення.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самооцінювання (відповідно до наказу МОН України від 20.08.2018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 Навчальні досягнення учнів других класів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 «Про затвердження методичних рекомендацій щодо оцінювання навчальних досягнень учнів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класу»).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Оцінювання навчальних досягнень учнів 3-4 класів здійснюється вербально (відповідно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України від 21.08.2013  № 1222 «Про затвердження орієнтовних вимог оцінювання навчальних досягнень учнів із базових дисциплін у систе</w:t>
      </w:r>
      <w:r w:rsidR="00C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мі загальної середньої освіти»)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Оцінювання навчальних досягнень учнів основної школи здійснюється за 12-бальною шкалою (відповідно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МОН України від 21.08.2013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ступеня оволодіння знаннями і способами діяльності виокремлюються чотири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навчальних досягнень учнів: початковий, середній, достатній, високий.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здійснюється у процесі повсякденного вивчення результатів навчальної роботи учні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тестування, та ін.).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Оцінювання навчальних досягнень учнів старшої школи здійснюється за 12-бальною системо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шкалою) і його результати позначаються цифрами від 1 до 12 (відповідно до наказу МОН України від 13.04.2011 № 329 «Про затвердження Критеріїв оцінювання навчальних досягнень учнів (вихованців) у системі загальної середньої освіти»).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Обов’язковому оцінюванню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 навчальні досягнення учнів з предметів інваріантної складової навчального плану закладу.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Державна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ідсумкова атестація осіб, які здобувають загальну середню освіту в гімназії, відбувається відповідно до наказу МОН України від 07.12.2018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16" w:anchor="n2" w:history="1">
        <w:r w:rsidRPr="006A3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221 від 18.02.2019</w:t>
        </w:r>
      </w:hyperlink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3B50" w:rsidRPr="006A3B50" w:rsidRDefault="006A3B50" w:rsidP="004E240F">
      <w:pPr>
        <w:numPr>
          <w:ilvl w:val="0"/>
          <w:numId w:val="20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Критерії, правила і процедури оцінювання педагогічної діяльності педагогічних працівникі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 17 «Про затвердження Порядку проведення інституційного аудиту закладів загальної середньої освіти».</w:t>
      </w:r>
      <w:proofErr w:type="gramEnd"/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Вимога 1.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Ефективність планування педагогічними працівниками своєї діяльності, використання сучасних освітніх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ідходів до організації освітнього процесу з метою формування ключових компетентностей здобувачів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Педагогічні працівники планують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діяльність, аналізують її результативність.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Педагогічні працівники застосовують освітні технології, спрямовані на формування ключових компетентностей і наскрізних умінь здобувачів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Педагогічні працівники беруть участь у формуванні та реалізації індивідуальних освітніх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для здобувачів освіти (за потреби).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1.4 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Педагогічні працівники використовують інформаційно-комунікаційні технології в освітньому процесі.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 Вимога 2.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Постійне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професійного рівня і педагогічної майстерності педагогічних працівників.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Педагогічні працівники забезпечують власний професійний розвиток і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кваліфікації, у тому числі щодо методик роботи з дітьми з особливими освітніми потребами.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 Педагогічні працівники здійснюють інноваційну освітню діяльність, беруть участь у освітніх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залучаються до роботи як освітні експерти.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 Вимога 3.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співпраці зі здобувачами освіти, їх батьками, працівниками закладу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Педагогічні працівники діють на засадах педагогіки партнерства.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У закладі осві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існу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є практика педагогічного наставництва, взаємонавчання та інших форм професійної співпраці.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 Вимога 4.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педагогічної діяльності та навчання здобувачів осві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 академічної доброчесності.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Педагогічні працівники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провадження педагогічної та наукової (творчої) діяльності дотримуються академічної доброчесності.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Педагогічні працівники сприяють дотриманню академічної доброчесності здобувачами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 Критерії, правила і процедури оцінювання управлінської діяльності керівних працівникі</w:t>
      </w:r>
      <w:proofErr w:type="gramStart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освіти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Критерії, правила і процедури оцінювання управлінської діяльності керівних працівникі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визначаються на основі положень наказу Міністерства освіти і науки України від 09.01.2019 № 17 «Про затвердження Порядку проведення інституційного аудиту закладів загальної середньої освіти».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7.1. Вимога 1.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У закладі освіти затверджено стратегію його розвитку, спрямовану на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якості освітньої діяльності.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У закладі освіти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 Вимога 2.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відносин довіри, прозорості, дотримання етичних норм.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Керівництво закладу освіти сприяє створенню психологічно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Заклад освіти оприлюднює інформацію про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на відкритих загальнодоступних ресурсах.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 Вимога 3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Ефективність кадрової політики та забезпечення можливостей для професійного розвитку педагогічних працівникі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Керівник закладу освіти формує штат закладу, залучаючи кваліфікованих педагогічних та інших працівників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штатного розпису та освітньої програми.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 Керівництво закладу освіти за допомогою системи матеріального та морального заохочення мотивує педагогічних працівників до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якості освітньої діяльності, саморозвитку, здійснення інноваційної освітньої діяльності.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Керівництво закладу освіти сприяє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ідвищенню кваліфікації педагогічних працівників.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 Вимога 4.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освітнього процесу на засадах людиноцентризму, прийняття управлінських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 на основі конструктивної співпраці учасників освітнього процесу, взаємодія закладу освіти з місцевою громадою.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закладі освіти створюються умови для реалізації прав і обов’язків учасників освітнього процесу.</w:t>
      </w:r>
      <w:proofErr w:type="gramEnd"/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Управлінські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приймаються з урахуванням пропозицій учасників освітнього процесу.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Керівництво закладу освіти створює умови для розвитку громадського самоврядування.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Режим роботи закладу освіти та розклад занять враховують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ікові особливості здобувачів освіти, відповідають їх освітнім потребам.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У закладі освіти створюються умови для реалізації індивідуальних освітніх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здобувачів освіти.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7.5. Вимога 5. 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та забезпечення реалізації політики академічної доброчесності.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Критерії оцінювання: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Заклад освіти впроваджує політику академічної доброчесності.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Керівництво закладу освіти сприяє формуванню в учасників освітнього процесу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корупції.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VIIІ. Механізми реалізації внутрішньої системи забезпечення якості освіти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Механізми реалізації ВСЗЯО передбачають здійснення періодичного</w:t>
      </w:r>
      <w:r w:rsidR="002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оцінювання компонентів </w:t>
      </w:r>
      <w:r w:rsidR="00264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напрямами оцінювання відповідальними посадовими особами і представниками громадських структур закладу осві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визначених методів збору інформації та відповідного інструментарію. Отримана інформація узагальнюється, відповідний компонент оцінюється,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чого зазначені матеріали передаються дирекції закладу для прийняття відповідного управлінського рішення щодо удоско</w:t>
      </w:r>
      <w:r w:rsid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налення якості освіти в </w:t>
      </w:r>
      <w:r w:rsidR="000A7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</w:t>
      </w: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50" w:rsidRPr="006A3B50" w:rsidRDefault="006A3B50" w:rsidP="004E240F">
      <w:pPr>
        <w:spacing w:after="15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Дані щодо процедури та результатів оцінювання мають узагальнюватися зокрема в таблицях. Компоненти напряму оцінювання. До них віднесено (відповідно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України від 09.01.2019 № 17 «Про затвердження Порядку проведення інституційного аудиту закладів загальної середньої освіти»):</w:t>
      </w:r>
    </w:p>
    <w:p w:rsidR="006A3B50" w:rsidRPr="006A3B50" w:rsidRDefault="006A3B50" w:rsidP="004E240F">
      <w:pPr>
        <w:numPr>
          <w:ilvl w:val="0"/>
          <w:numId w:val="2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6A3B50" w:rsidRPr="006A3B50" w:rsidRDefault="006A3B50" w:rsidP="004E240F">
      <w:pPr>
        <w:numPr>
          <w:ilvl w:val="0"/>
          <w:numId w:val="2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оцінювання здобувачів освіти (оприлюднення критерії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процедур оцінювання навчальних досягнень, здійснення аналізу результатів навчання учнів, впровадження системи формувального оцінювання тощо);</w:t>
      </w:r>
    </w:p>
    <w:p w:rsidR="006A3B50" w:rsidRPr="006A3B50" w:rsidRDefault="006A3B50" w:rsidP="004E240F">
      <w:pPr>
        <w:numPr>
          <w:ilvl w:val="0"/>
          <w:numId w:val="2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педагогічна діяльність педагогічних працівників (формування та реалізація індивідуальних освітніх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учнів, використання інформаційно-комунікаційних технологій в освітньому процесі, розвиток педагогіки партнерства тощо);</w:t>
      </w:r>
    </w:p>
    <w:p w:rsidR="006A3B50" w:rsidRPr="006A3B50" w:rsidRDefault="006A3B50" w:rsidP="004E240F">
      <w:pPr>
        <w:numPr>
          <w:ilvl w:val="0"/>
          <w:numId w:val="21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управлінські процеси закладу освіти (стратегія розвитку закладу, здійснення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планування відповідно до стратегії, підвищення кваліфікації педагогічних працівників тощо).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Періодичність оцінювання. Визначається відповідно до частоти оцінювання (1 раз на п’ять років, 1 раз на 3 роки, 1 раз на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ік, півріччя (семестр), квартал (чверть), щомісячно, щотижнево тощо).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Відповідальні за оцінювання. Ними є не тільки члени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іністрації гімназії,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 педагог, бібліотекар, медична сестра, члени ради гімназії, батьківського комітету, учнівського комітету тощо.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 збору інформації та інструментарій. У цій графі визначається метод збору інформації (аналіз документів, опитування, спостереження) та інструментарій (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бланк, анкета тощо).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 узагальнення інформації. До інформації, яку має надати відповідальна особа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завершення процедури оцінювання, віднесено аналітичну довідку, письмовий звіт, усний звіт, доповідну записку, акт тощо.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оцінювання.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оцінювання як обов’язковий елемент механізму передбачає визначення рівня оцінювання: перший (високий); другий (достатній); третій (вимагає покращення); четвертий (низький).</w:t>
      </w:r>
    </w:p>
    <w:p w:rsidR="006A3B50" w:rsidRPr="006A3B50" w:rsidRDefault="006A3B50" w:rsidP="004E240F">
      <w:pPr>
        <w:numPr>
          <w:ilvl w:val="0"/>
          <w:numId w:val="22"/>
        </w:num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Управлінське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ішення. Управлінське </w:t>
      </w:r>
      <w:proofErr w:type="gramStart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3B5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спрямовано на вдосконалення якості освіти в гімназії.</w:t>
      </w:r>
    </w:p>
    <w:p w:rsidR="00BE57C7" w:rsidRPr="006A3B50" w:rsidRDefault="00BE57C7" w:rsidP="004E240F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BE57C7" w:rsidRPr="006A3B50" w:rsidSect="001E101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FE" w:rsidRDefault="00367CFE">
      <w:pPr>
        <w:spacing w:after="0" w:line="240" w:lineRule="auto"/>
      </w:pPr>
      <w:r>
        <w:separator/>
      </w:r>
    </w:p>
  </w:endnote>
  <w:endnote w:type="continuationSeparator" w:id="0">
    <w:p w:rsidR="00367CFE" w:rsidRDefault="0036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92" w:rsidRDefault="00367CFE">
    <w:pPr>
      <w:pStyle w:val="a3"/>
      <w:jc w:val="right"/>
    </w:pPr>
  </w:p>
  <w:p w:rsidR="00DC0592" w:rsidRDefault="00367CFE">
    <w:pPr>
      <w:pStyle w:val="a3"/>
    </w:pPr>
  </w:p>
  <w:p w:rsidR="00DC0592" w:rsidRDefault="00367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FE" w:rsidRDefault="00367CFE">
      <w:pPr>
        <w:spacing w:after="0" w:line="240" w:lineRule="auto"/>
      </w:pPr>
      <w:r>
        <w:separator/>
      </w:r>
    </w:p>
  </w:footnote>
  <w:footnote w:type="continuationSeparator" w:id="0">
    <w:p w:rsidR="00367CFE" w:rsidRDefault="0036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93"/>
    <w:multiLevelType w:val="multilevel"/>
    <w:tmpl w:val="BAA8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517E"/>
    <w:multiLevelType w:val="multilevel"/>
    <w:tmpl w:val="31F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3F58"/>
    <w:multiLevelType w:val="multilevel"/>
    <w:tmpl w:val="B5D2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0BAC"/>
    <w:multiLevelType w:val="multilevel"/>
    <w:tmpl w:val="F57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853D1"/>
    <w:multiLevelType w:val="multilevel"/>
    <w:tmpl w:val="8BB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6015A"/>
    <w:multiLevelType w:val="multilevel"/>
    <w:tmpl w:val="078AA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57B9"/>
    <w:multiLevelType w:val="multilevel"/>
    <w:tmpl w:val="2F7E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72E7E"/>
    <w:multiLevelType w:val="multilevel"/>
    <w:tmpl w:val="A6F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516FE"/>
    <w:multiLevelType w:val="multilevel"/>
    <w:tmpl w:val="7D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82630"/>
    <w:multiLevelType w:val="multilevel"/>
    <w:tmpl w:val="872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30D68"/>
    <w:multiLevelType w:val="multilevel"/>
    <w:tmpl w:val="ECA2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85771"/>
    <w:multiLevelType w:val="multilevel"/>
    <w:tmpl w:val="AD6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F460C"/>
    <w:multiLevelType w:val="multilevel"/>
    <w:tmpl w:val="022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925DE"/>
    <w:multiLevelType w:val="multilevel"/>
    <w:tmpl w:val="00B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5457A"/>
    <w:multiLevelType w:val="multilevel"/>
    <w:tmpl w:val="144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040CE"/>
    <w:multiLevelType w:val="multilevel"/>
    <w:tmpl w:val="D3C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1108C"/>
    <w:multiLevelType w:val="multilevel"/>
    <w:tmpl w:val="E14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56184"/>
    <w:multiLevelType w:val="multilevel"/>
    <w:tmpl w:val="854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23F98"/>
    <w:multiLevelType w:val="multilevel"/>
    <w:tmpl w:val="C86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321DD"/>
    <w:multiLevelType w:val="multilevel"/>
    <w:tmpl w:val="98F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219BB"/>
    <w:multiLevelType w:val="multilevel"/>
    <w:tmpl w:val="7E3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008"/>
    <w:multiLevelType w:val="multilevel"/>
    <w:tmpl w:val="537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1"/>
  </w:num>
  <w:num w:numId="8">
    <w:abstractNumId w:val="19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0"/>
    <w:rsid w:val="00086E69"/>
    <w:rsid w:val="000A7EF1"/>
    <w:rsid w:val="001E101C"/>
    <w:rsid w:val="00206AE0"/>
    <w:rsid w:val="00221F17"/>
    <w:rsid w:val="00264565"/>
    <w:rsid w:val="00367CFE"/>
    <w:rsid w:val="004E240F"/>
    <w:rsid w:val="006A3B50"/>
    <w:rsid w:val="00812E61"/>
    <w:rsid w:val="00AA7C34"/>
    <w:rsid w:val="00BE57C7"/>
    <w:rsid w:val="00C74FDF"/>
    <w:rsid w:val="00F27F15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01C"/>
  </w:style>
  <w:style w:type="character" w:customStyle="1" w:styleId="20">
    <w:name w:val="Заголовок 2 Знак"/>
    <w:basedOn w:val="a0"/>
    <w:link w:val="2"/>
    <w:uiPriority w:val="9"/>
    <w:rsid w:val="000A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7EF1"/>
    <w:rPr>
      <w:b/>
      <w:bCs/>
    </w:rPr>
  </w:style>
  <w:style w:type="character" w:styleId="a7">
    <w:name w:val="Hyperlink"/>
    <w:basedOn w:val="a0"/>
    <w:uiPriority w:val="99"/>
    <w:semiHidden/>
    <w:unhideWhenUsed/>
    <w:rsid w:val="000A7E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7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101C"/>
  </w:style>
  <w:style w:type="character" w:customStyle="1" w:styleId="20">
    <w:name w:val="Заголовок 2 Знак"/>
    <w:basedOn w:val="a0"/>
    <w:link w:val="2"/>
    <w:uiPriority w:val="9"/>
    <w:rsid w:val="000A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7EF1"/>
    <w:rPr>
      <w:b/>
      <w:bCs/>
    </w:rPr>
  </w:style>
  <w:style w:type="character" w:styleId="a7">
    <w:name w:val="Hyperlink"/>
    <w:basedOn w:val="a0"/>
    <w:uiPriority w:val="99"/>
    <w:semiHidden/>
    <w:unhideWhenUsed/>
    <w:rsid w:val="000A7E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z0566-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osh12.kupyansk.info/files/docs/2019/14375_NAKAZ21_08_2013__N_1222Pro_zatverdzhennya_oriento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244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sh12.kupyansk.info/files/docs/2019/14373_Orientovni_vimogi_do_kontrolyu_ta_otcinyuvannya_n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rada/show/v0371290-08" TargetMode="External"/><Relationship Id="rId10" Type="http://schemas.openxmlformats.org/officeDocument/2006/relationships/hyperlink" Target="http://osvita.ua/school/estimation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osh12.kupyansk.info/files/docs/2019/14159_Metodichni_rekomendatcii_shchodo_formuvalnogo_otc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E6F7-0A77-42B0-ABB2-C0856AF7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</cp:revision>
  <dcterms:created xsi:type="dcterms:W3CDTF">2020-08-19T13:23:00Z</dcterms:created>
  <dcterms:modified xsi:type="dcterms:W3CDTF">2021-08-22T09:02:00Z</dcterms:modified>
</cp:coreProperties>
</file>